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274"/>
        <w:gridCol w:w="2126"/>
      </w:tblGrid>
      <w:tr w:rsidR="00432AAD" w:rsidTr="0005246B">
        <w:trPr>
          <w:tblCellSpacing w:w="15" w:type="dxa"/>
        </w:trPr>
        <w:tc>
          <w:tcPr>
            <w:tcW w:w="1000" w:type="pct"/>
          </w:tcPr>
          <w:p w:rsidR="00895CF0" w:rsidRDefault="0027156C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Flora, Heath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Alanis, Juan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Carrillo, Wendy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Lee, Alex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Ward, Christopher M.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Zbur, Rick Chavez</w:t>
            </w:r>
            <w:r>
              <w:br/>
            </w:r>
          </w:p>
        </w:tc>
        <w:tc>
          <w:tcPr>
            <w:tcW w:w="3000" w:type="pct"/>
            <w:hideMark/>
          </w:tcPr>
          <w:p w:rsidR="00432AAD" w:rsidRDefault="00432AAD" w:rsidP="008D0F60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0" cy="381000"/>
                  <wp:effectExtent l="0" t="0" r="0" b="0"/>
                  <wp:docPr id="2" name="Picture 2" descr="California State Assembly-Member Protfo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ifornia State Assembly-Member Protfo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CF0" w:rsidRDefault="0027156C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LABOR AND EMPLOYMENT</w:t>
            </w:r>
            <w:r>
              <w:fldChar w:fldCharType="end"/>
            </w:r>
          </w:p>
          <w:p w:rsidR="00432AAD" w:rsidRDefault="00432AAD" w:rsidP="008D0F6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>
                  <wp:extent cx="942975" cy="838200"/>
                  <wp:effectExtent l="0" t="0" r="9525" b="0"/>
                  <wp:docPr id="1" name="Picture 1" descr="California State Assembly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lifornia State Assembly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CF0" w:rsidRDefault="0027156C">
            <w:pPr>
              <w:pStyle w:val="Heading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LIZ ORTEGA </w:t>
            </w:r>
            <w:r>
              <w:fldChar w:fldCharType="end"/>
            </w:r>
          </w:p>
          <w:p w:rsidR="00895CF0" w:rsidRDefault="0027156C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:rsidR="000352C8" w:rsidRDefault="000352C8" w:rsidP="000352C8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:rsidR="00895CF0" w:rsidRDefault="0027156C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Chief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Megan Lane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Secretary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Lorie Alvarez</w:t>
            </w:r>
            <w:r>
              <w:br/>
            </w:r>
          </w:p>
        </w:tc>
      </w:tr>
      <w:tr w:rsidR="00432AAD" w:rsidTr="0005246B">
        <w:trPr>
          <w:tblCellSpacing w:w="15" w:type="dxa"/>
        </w:trPr>
        <w:tc>
          <w:tcPr>
            <w:tcW w:w="0" w:type="auto"/>
            <w:gridSpan w:val="3"/>
          </w:tcPr>
          <w:p w:rsidR="00E01208" w:rsidRDefault="00351592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:rsidR="0027156C" w:rsidRDefault="0027156C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</w:p>
          <w:p w:rsidR="00895CF0" w:rsidRPr="0027156C" w:rsidRDefault="0027156C">
            <w:pPr>
              <w:jc w:val="center"/>
              <w:rPr>
                <w:sz w:val="20"/>
                <w:szCs w:val="20"/>
              </w:rPr>
            </w:pPr>
            <w:r w:rsidRPr="0027156C">
              <w:rPr>
                <w:rFonts w:ascii="Arial" w:hAnsi="Arial"/>
                <w:color w:val="0056A5"/>
                <w:sz w:val="20"/>
                <w:szCs w:val="20"/>
              </w:rPr>
              <w:t xml:space="preserve">Wednesday, March 13, 2024 </w:t>
            </w:r>
            <w:bookmarkStart w:id="0" w:name="_GoBack"/>
            <w:bookmarkEnd w:id="0"/>
            <w:r w:rsidRPr="0027156C">
              <w:rPr>
                <w:sz w:val="20"/>
                <w:szCs w:val="20"/>
              </w:rPr>
              <w:br/>
            </w:r>
            <w:r w:rsidRPr="0027156C">
              <w:rPr>
                <w:rFonts w:ascii="Arial" w:hAnsi="Arial"/>
                <w:color w:val="0056A5"/>
                <w:sz w:val="20"/>
                <w:szCs w:val="20"/>
              </w:rPr>
              <w:t>1:30 p.m. -- State Capitol, Room 447</w:t>
            </w:r>
          </w:p>
          <w:p w:rsidR="00895CF0" w:rsidRDefault="00895CF0">
            <w:pPr>
              <w:jc w:val="center"/>
            </w:pPr>
          </w:p>
        </w:tc>
      </w:tr>
    </w:tbl>
    <w:p w:rsidR="00895CF0" w:rsidRDefault="00895CF0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763"/>
      </w:tblGrid>
      <w:tr w:rsidR="00895CF0">
        <w:trPr>
          <w:cantSplit/>
          <w:tblCellSpacing w:w="20" w:type="dxa"/>
        </w:trPr>
        <w:tc>
          <w:tcPr>
            <w:tcW w:w="14360" w:type="dxa"/>
          </w:tcPr>
          <w:p w:rsidR="00895CF0" w:rsidRDefault="0027156C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HEARD IN FILE ORDER</w:t>
            </w:r>
          </w:p>
        </w:tc>
      </w:tr>
    </w:tbl>
    <w:p w:rsidR="00895CF0" w:rsidRDefault="00895CF0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05"/>
        <w:gridCol w:w="1273"/>
        <w:gridCol w:w="2411"/>
        <w:gridCol w:w="6374"/>
      </w:tblGrid>
      <w:tr w:rsidR="00895CF0" w:rsidTr="00DF479E">
        <w:trPr>
          <w:cantSplit/>
          <w:tblCellSpacing w:w="20" w:type="dxa"/>
        </w:trPr>
        <w:tc>
          <w:tcPr>
            <w:tcW w:w="645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1.</w:t>
            </w:r>
          </w:p>
        </w:tc>
        <w:tc>
          <w:tcPr>
            <w:tcW w:w="1233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AB 1832</w:t>
            </w:r>
          </w:p>
        </w:tc>
        <w:tc>
          <w:tcPr>
            <w:tcW w:w="2371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Blanca Rubio</w:t>
            </w:r>
          </w:p>
        </w:tc>
        <w:tc>
          <w:tcPr>
            <w:tcW w:w="6314" w:type="dxa"/>
          </w:tcPr>
          <w:p w:rsidR="00895CF0" w:rsidRPr="00284337" w:rsidRDefault="0027156C">
            <w:pPr>
              <w:rPr>
                <w:rFonts w:ascii="Arial" w:hAnsi="Arial"/>
                <w:b/>
                <w:color w:val="000000"/>
              </w:rPr>
            </w:pPr>
            <w:r w:rsidRPr="00284337">
              <w:rPr>
                <w:rFonts w:ascii="Arial" w:hAnsi="Arial"/>
                <w:b/>
                <w:color w:val="000000"/>
              </w:rPr>
              <w:t>Civil Rights Department: Labor Trafficking Task Force.</w:t>
            </w:r>
          </w:p>
          <w:p w:rsidR="0027156C" w:rsidRPr="00284337" w:rsidRDefault="0027156C">
            <w:pPr>
              <w:rPr>
                <w:b/>
              </w:rPr>
            </w:pPr>
          </w:p>
        </w:tc>
      </w:tr>
      <w:tr w:rsidR="00895CF0" w:rsidTr="00DF479E">
        <w:trPr>
          <w:cantSplit/>
          <w:tblCellSpacing w:w="20" w:type="dxa"/>
        </w:trPr>
        <w:tc>
          <w:tcPr>
            <w:tcW w:w="645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1233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AB 1843</w:t>
            </w:r>
          </w:p>
        </w:tc>
        <w:tc>
          <w:tcPr>
            <w:tcW w:w="2371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Rodriguez</w:t>
            </w:r>
          </w:p>
        </w:tc>
        <w:tc>
          <w:tcPr>
            <w:tcW w:w="6314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 xml:space="preserve">Emergency Ambulance Employee Safety and Preparedness Act. </w:t>
            </w:r>
          </w:p>
        </w:tc>
      </w:tr>
      <w:tr w:rsidR="00895CF0" w:rsidTr="00DF479E">
        <w:trPr>
          <w:cantSplit/>
          <w:tblCellSpacing w:w="20" w:type="dxa"/>
        </w:trPr>
        <w:tc>
          <w:tcPr>
            <w:tcW w:w="645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3.</w:t>
            </w:r>
          </w:p>
        </w:tc>
        <w:tc>
          <w:tcPr>
            <w:tcW w:w="1233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AB 1888</w:t>
            </w:r>
          </w:p>
        </w:tc>
        <w:tc>
          <w:tcPr>
            <w:tcW w:w="2371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Arambula</w:t>
            </w:r>
          </w:p>
        </w:tc>
        <w:tc>
          <w:tcPr>
            <w:tcW w:w="6314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Division of Labor Standards Enforcement: Labor Trafficking Unit.</w:t>
            </w:r>
          </w:p>
        </w:tc>
      </w:tr>
      <w:tr w:rsidR="00895CF0" w:rsidTr="00DF479E">
        <w:trPr>
          <w:cantSplit/>
          <w:tblCellSpacing w:w="20" w:type="dxa"/>
        </w:trPr>
        <w:tc>
          <w:tcPr>
            <w:tcW w:w="645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4.</w:t>
            </w:r>
          </w:p>
        </w:tc>
        <w:tc>
          <w:tcPr>
            <w:tcW w:w="1233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AB 1890</w:t>
            </w:r>
          </w:p>
        </w:tc>
        <w:tc>
          <w:tcPr>
            <w:tcW w:w="2371" w:type="dxa"/>
          </w:tcPr>
          <w:p w:rsidR="00895CF0" w:rsidRPr="00284337" w:rsidRDefault="0027156C">
            <w:pPr>
              <w:rPr>
                <w:b/>
              </w:rPr>
            </w:pPr>
            <w:r w:rsidRPr="00284337">
              <w:rPr>
                <w:rFonts w:ascii="Arial" w:hAnsi="Arial"/>
                <w:b/>
                <w:color w:val="000000"/>
              </w:rPr>
              <w:t>Joe Patterson</w:t>
            </w:r>
          </w:p>
        </w:tc>
        <w:tc>
          <w:tcPr>
            <w:tcW w:w="6314" w:type="dxa"/>
          </w:tcPr>
          <w:p w:rsidR="00895CF0" w:rsidRPr="00284337" w:rsidRDefault="0027156C">
            <w:pPr>
              <w:rPr>
                <w:rFonts w:ascii="Arial" w:hAnsi="Arial"/>
                <w:b/>
                <w:color w:val="000000"/>
              </w:rPr>
            </w:pPr>
            <w:r w:rsidRPr="00284337">
              <w:rPr>
                <w:rFonts w:ascii="Arial" w:hAnsi="Arial"/>
                <w:b/>
                <w:color w:val="000000"/>
              </w:rPr>
              <w:t>Public works: prevailing wage.</w:t>
            </w:r>
          </w:p>
          <w:p w:rsidR="0027156C" w:rsidRPr="00284337" w:rsidRDefault="0027156C">
            <w:pPr>
              <w:rPr>
                <w:b/>
              </w:rPr>
            </w:pPr>
          </w:p>
        </w:tc>
      </w:tr>
      <w:tr w:rsidR="00895CF0" w:rsidTr="00DF479E">
        <w:trPr>
          <w:cantSplit/>
          <w:tblCellSpacing w:w="20" w:type="dxa"/>
        </w:trPr>
        <w:tc>
          <w:tcPr>
            <w:tcW w:w="645" w:type="dxa"/>
          </w:tcPr>
          <w:p w:rsidR="00895CF0" w:rsidRDefault="00DF479E">
            <w:r>
              <w:rPr>
                <w:rFonts w:ascii="Arial" w:hAnsi="Arial"/>
                <w:color w:val="000000"/>
              </w:rPr>
              <w:t>5</w:t>
            </w:r>
            <w:r w:rsidR="0027156C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3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AB 2011</w:t>
            </w:r>
          </w:p>
        </w:tc>
        <w:tc>
          <w:tcPr>
            <w:tcW w:w="2371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Bauer-Kahan</w:t>
            </w:r>
          </w:p>
        </w:tc>
        <w:tc>
          <w:tcPr>
            <w:tcW w:w="6314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Unlawful employment practices: small employer family leave mediation program.</w:t>
            </w:r>
          </w:p>
        </w:tc>
      </w:tr>
      <w:tr w:rsidR="00895CF0" w:rsidTr="00DF479E">
        <w:trPr>
          <w:cantSplit/>
          <w:tblCellSpacing w:w="20" w:type="dxa"/>
        </w:trPr>
        <w:tc>
          <w:tcPr>
            <w:tcW w:w="645" w:type="dxa"/>
          </w:tcPr>
          <w:p w:rsidR="00895CF0" w:rsidRDefault="00DF479E">
            <w:r>
              <w:rPr>
                <w:rFonts w:ascii="Arial" w:hAnsi="Arial"/>
                <w:color w:val="000000"/>
              </w:rPr>
              <w:t>6</w:t>
            </w:r>
            <w:r w:rsidR="0027156C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3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AB 2135</w:t>
            </w:r>
          </w:p>
        </w:tc>
        <w:tc>
          <w:tcPr>
            <w:tcW w:w="2371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Schiavo</w:t>
            </w:r>
          </w:p>
        </w:tc>
        <w:tc>
          <w:tcPr>
            <w:tcW w:w="6314" w:type="dxa"/>
          </w:tcPr>
          <w:p w:rsidR="00895CF0" w:rsidRDefault="0027156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Public works contracts: wage and penalty assessment.</w:t>
            </w:r>
          </w:p>
          <w:p w:rsidR="0027156C" w:rsidRDefault="0027156C"/>
        </w:tc>
      </w:tr>
      <w:tr w:rsidR="00895CF0" w:rsidTr="00DF479E">
        <w:trPr>
          <w:cantSplit/>
          <w:tblCellSpacing w:w="20" w:type="dxa"/>
        </w:trPr>
        <w:tc>
          <w:tcPr>
            <w:tcW w:w="645" w:type="dxa"/>
          </w:tcPr>
          <w:p w:rsidR="00895CF0" w:rsidRDefault="00DF479E">
            <w:r>
              <w:rPr>
                <w:rFonts w:ascii="Arial" w:hAnsi="Arial"/>
                <w:color w:val="000000"/>
              </w:rPr>
              <w:t>7</w:t>
            </w:r>
            <w:r w:rsidR="0027156C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33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ACA 14</w:t>
            </w:r>
          </w:p>
        </w:tc>
        <w:tc>
          <w:tcPr>
            <w:tcW w:w="2371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Ortega</w:t>
            </w:r>
          </w:p>
        </w:tc>
        <w:tc>
          <w:tcPr>
            <w:tcW w:w="6314" w:type="dxa"/>
          </w:tcPr>
          <w:p w:rsidR="00895CF0" w:rsidRDefault="0027156C">
            <w:r>
              <w:rPr>
                <w:rFonts w:ascii="Arial" w:hAnsi="Arial"/>
                <w:color w:val="000000"/>
              </w:rPr>
              <w:t>University of California: basic state labor standards.</w:t>
            </w:r>
          </w:p>
        </w:tc>
      </w:tr>
    </w:tbl>
    <w:p w:rsidR="00E74E45" w:rsidRDefault="00E74E45" w:rsidP="00E75DE6"/>
    <w:p w:rsidR="00284337" w:rsidRDefault="00284337" w:rsidP="00E75DE6"/>
    <w:p w:rsidR="00284337" w:rsidRDefault="00284337" w:rsidP="00E75DE6"/>
    <w:p w:rsidR="00284337" w:rsidRPr="00284337" w:rsidRDefault="00284337" w:rsidP="00E75DE6">
      <w:pPr>
        <w:rPr>
          <w:b/>
          <w:sz w:val="28"/>
          <w:szCs w:val="28"/>
        </w:rPr>
      </w:pPr>
      <w:r w:rsidRPr="00284337">
        <w:rPr>
          <w:b/>
          <w:sz w:val="28"/>
          <w:szCs w:val="28"/>
        </w:rPr>
        <w:t>BOLDED ITEMS – PROPOSED CONSENT CALENDAR</w:t>
      </w:r>
    </w:p>
    <w:sectPr w:rsidR="00284337" w:rsidRPr="00284337">
      <w:footerReference w:type="default" r:id="rId10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11" w:rsidRDefault="00CA3E11" w:rsidP="00124AD3">
      <w:r>
        <w:separator/>
      </w:r>
    </w:p>
  </w:endnote>
  <w:endnote w:type="continuationSeparator" w:id="0">
    <w:p w:rsidR="00CA3E11" w:rsidRDefault="00CA3E11" w:rsidP="001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CF0" w:rsidRDefault="00895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11" w:rsidRDefault="00CA3E11" w:rsidP="00124AD3">
      <w:r>
        <w:separator/>
      </w:r>
    </w:p>
  </w:footnote>
  <w:footnote w:type="continuationSeparator" w:id="0">
    <w:p w:rsidR="00CA3E11" w:rsidRDefault="00CA3E11" w:rsidP="0012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F1"/>
    <w:rsid w:val="00013DE9"/>
    <w:rsid w:val="000352C8"/>
    <w:rsid w:val="0005246B"/>
    <w:rsid w:val="0008535A"/>
    <w:rsid w:val="000E11C8"/>
    <w:rsid w:val="0011117E"/>
    <w:rsid w:val="00124AD3"/>
    <w:rsid w:val="001328F1"/>
    <w:rsid w:val="00144694"/>
    <w:rsid w:val="001A665F"/>
    <w:rsid w:val="001D3CFC"/>
    <w:rsid w:val="001F066A"/>
    <w:rsid w:val="001F141D"/>
    <w:rsid w:val="002618EE"/>
    <w:rsid w:val="0027156C"/>
    <w:rsid w:val="00276005"/>
    <w:rsid w:val="00284337"/>
    <w:rsid w:val="002F2850"/>
    <w:rsid w:val="003111B3"/>
    <w:rsid w:val="00351592"/>
    <w:rsid w:val="00377643"/>
    <w:rsid w:val="00386652"/>
    <w:rsid w:val="003E7783"/>
    <w:rsid w:val="00432AAD"/>
    <w:rsid w:val="004A1B22"/>
    <w:rsid w:val="00643CA5"/>
    <w:rsid w:val="00647463"/>
    <w:rsid w:val="006A20D8"/>
    <w:rsid w:val="00701A25"/>
    <w:rsid w:val="00754D49"/>
    <w:rsid w:val="007642FE"/>
    <w:rsid w:val="007B7CF1"/>
    <w:rsid w:val="007C2A8C"/>
    <w:rsid w:val="007F7F6D"/>
    <w:rsid w:val="00822375"/>
    <w:rsid w:val="00895CF0"/>
    <w:rsid w:val="008D0F60"/>
    <w:rsid w:val="00921C99"/>
    <w:rsid w:val="00994CC4"/>
    <w:rsid w:val="00A26923"/>
    <w:rsid w:val="00AF1D59"/>
    <w:rsid w:val="00B111FF"/>
    <w:rsid w:val="00B23322"/>
    <w:rsid w:val="00B57026"/>
    <w:rsid w:val="00CA3E11"/>
    <w:rsid w:val="00D85DC6"/>
    <w:rsid w:val="00DF479E"/>
    <w:rsid w:val="00E01208"/>
    <w:rsid w:val="00E6166F"/>
    <w:rsid w:val="00E74E45"/>
    <w:rsid w:val="00E75DE6"/>
    <w:rsid w:val="00EB0F11"/>
    <w:rsid w:val="00F303A4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0D379-1347-43D0-8E34-6FE57431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efaults">
    <w:name w:val="DocDefaults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CommitteeActions\RichClients\CAClient\src\gov\ca\lc\resources\images\letterheadAssembly_tab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file:///C:\CommitteeActions\RichClients\CAClient\src\gov\ca\lc\resources\images\asmHouseSe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Dakhane, Wrushasen</dc:creator>
  <cp:lastModifiedBy>Alvarez, Lorie</cp:lastModifiedBy>
  <cp:revision>6</cp:revision>
  <cp:lastPrinted>2024-03-11T16:17:00Z</cp:lastPrinted>
  <dcterms:created xsi:type="dcterms:W3CDTF">2024-02-27T17:20:00Z</dcterms:created>
  <dcterms:modified xsi:type="dcterms:W3CDTF">2024-03-11T18:31:00Z</dcterms:modified>
</cp:coreProperties>
</file>